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ender Info"/>
        <w:jc w:val="left"/>
      </w:pPr>
      <w:r>
        <mc:AlternateContent>
          <mc:Choice Requires="wps">
            <w:drawing>
              <wp:anchor distT="0" distB="0" distL="0" distR="0" simplePos="0" relativeHeight="251660288" behindDoc="0" locked="0" layoutInCell="1" allowOverlap="1">
                <wp:simplePos x="0" y="0"/>
                <wp:positionH relativeFrom="column">
                  <wp:posOffset>2743200</wp:posOffset>
                </wp:positionH>
                <wp:positionV relativeFrom="line">
                  <wp:posOffset>-800100</wp:posOffset>
                </wp:positionV>
                <wp:extent cx="3314700" cy="10287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314700" cy="1028700"/>
                        </a:xfrm>
                        <a:prstGeom prst="rect">
                          <a:avLst/>
                        </a:prstGeom>
                        <a:noFill/>
                        <a:ln w="12700" cap="flat">
                          <a:noFill/>
                          <a:miter lim="400000"/>
                        </a:ln>
                        <a:effectLst/>
                      </wps:spPr>
                      <wps:txbx>
                        <w:txbxContent>
                          <w:p>
                            <w:pPr>
                              <w:pStyle w:val="Body"/>
                              <w:jc w:val="right"/>
                              <w:rPr>
                                <w:rFonts w:ascii="Arial Rounded MT Bold" w:cs="Arial Rounded MT Bold" w:hAnsi="Arial Rounded MT Bold" w:eastAsia="Arial Rounded MT Bold"/>
                                <w:color w:val="3a7ca0"/>
                                <w:u w:color="bfbfbf"/>
                              </w:rPr>
                            </w:pPr>
                            <w:r>
                              <w:rPr>
                                <w:rFonts w:ascii="Arial Rounded MT Bold" w:hAnsi="Arial Rounded MT Bold"/>
                                <w:color w:val="bfbfbf"/>
                                <w:u w:color="bfbfbf"/>
                                <w:rtl w:val="0"/>
                                <w:lang w:val="en-US"/>
                              </w:rPr>
                              <w:t xml:space="preserve">KIBBLESWORTH </w:t>
                            </w:r>
                            <w:r>
                              <w:rPr>
                                <w:rFonts w:ascii="Arial Rounded MT Bold" w:hAnsi="Arial Rounded MT Bold"/>
                                <w:color w:val="3a7ca0"/>
                                <w:u w:color="bfbfbf"/>
                                <w:rtl w:val="0"/>
                                <w:lang w:val="en-US"/>
                              </w:rPr>
                              <w:t>ACADEMY</w:t>
                            </w:r>
                          </w:p>
                          <w:p>
                            <w:pPr>
                              <w:pStyle w:val="Body"/>
                              <w:jc w:val="right"/>
                              <w:rPr>
                                <w:rFonts w:ascii="Arial Rounded MT Bold" w:cs="Arial Rounded MT Bold" w:hAnsi="Arial Rounded MT Bold" w:eastAsia="Arial Rounded MT Bold"/>
                                <w:color w:val="3a7ca0"/>
                                <w:u w:color="bfbfbf"/>
                              </w:rPr>
                            </w:pPr>
                          </w:p>
                          <w:p>
                            <w:pPr>
                              <w:pStyle w:val="Body"/>
                              <w:jc w:val="right"/>
                              <w:rPr>
                                <w:rFonts w:ascii="Arial Rounded MT Bold" w:cs="Arial Rounded MT Bold" w:hAnsi="Arial Rounded MT Bold" w:eastAsia="Arial Rounded MT Bold"/>
                                <w:color w:val="3a7ca0"/>
                                <w:u w:color="bfbfbf"/>
                              </w:rPr>
                            </w:pPr>
                            <w:r>
                              <w:rPr>
                                <w:rFonts w:ascii="Arial Rounded MT Bold" w:hAnsi="Arial Rounded MT Bold"/>
                                <w:color w:val="3a7ca0"/>
                                <w:u w:color="bfbfbf"/>
                                <w:rtl w:val="0"/>
                                <w:lang w:val="en-US"/>
                              </w:rPr>
                              <w:t>June 2017</w:t>
                            </w:r>
                          </w:p>
                        </w:txbxContent>
                      </wps:txbx>
                      <wps:bodyPr wrap="square" lIns="50800" tIns="50800" rIns="50800" bIns="50800" numCol="1" anchor="t">
                        <a:noAutofit/>
                      </wps:bodyPr>
                    </wps:wsp>
                  </a:graphicData>
                </a:graphic>
              </wp:anchor>
            </w:drawing>
          </mc:Choice>
          <mc:Fallback>
            <w:pict>
              <v:rect id="_x0000_s1026" style="visibility:visible;position:absolute;margin-left:216.0pt;margin-top:-63.0pt;width:261.0pt;height:81.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Arial Rounded MT Bold" w:cs="Arial Rounded MT Bold" w:hAnsi="Arial Rounded MT Bold" w:eastAsia="Arial Rounded MT Bold"/>
                          <w:color w:val="3a7ca0"/>
                          <w:u w:color="bfbfbf"/>
                        </w:rPr>
                      </w:pPr>
                      <w:r>
                        <w:rPr>
                          <w:rFonts w:ascii="Arial Rounded MT Bold" w:hAnsi="Arial Rounded MT Bold"/>
                          <w:color w:val="bfbfbf"/>
                          <w:u w:color="bfbfbf"/>
                          <w:rtl w:val="0"/>
                          <w:lang w:val="en-US"/>
                        </w:rPr>
                        <w:t xml:space="preserve">KIBBLESWORTH </w:t>
                      </w:r>
                      <w:r>
                        <w:rPr>
                          <w:rFonts w:ascii="Arial Rounded MT Bold" w:hAnsi="Arial Rounded MT Bold"/>
                          <w:color w:val="3a7ca0"/>
                          <w:u w:color="bfbfbf"/>
                          <w:rtl w:val="0"/>
                          <w:lang w:val="en-US"/>
                        </w:rPr>
                        <w:t>ACADEMY</w:t>
                      </w:r>
                    </w:p>
                    <w:p>
                      <w:pPr>
                        <w:pStyle w:val="Body"/>
                        <w:jc w:val="right"/>
                        <w:rPr>
                          <w:rFonts w:ascii="Arial Rounded MT Bold" w:cs="Arial Rounded MT Bold" w:hAnsi="Arial Rounded MT Bold" w:eastAsia="Arial Rounded MT Bold"/>
                          <w:color w:val="3a7ca0"/>
                          <w:u w:color="bfbfbf"/>
                        </w:rPr>
                      </w:pPr>
                    </w:p>
                    <w:p>
                      <w:pPr>
                        <w:pStyle w:val="Body"/>
                        <w:jc w:val="right"/>
                        <w:rPr>
                          <w:rFonts w:ascii="Arial Rounded MT Bold" w:cs="Arial Rounded MT Bold" w:hAnsi="Arial Rounded MT Bold" w:eastAsia="Arial Rounded MT Bold"/>
                          <w:color w:val="3a7ca0"/>
                          <w:u w:color="bfbfbf"/>
                        </w:rPr>
                      </w:pPr>
                      <w:r>
                        <w:rPr>
                          <w:rFonts w:ascii="Arial Rounded MT Bold" w:hAnsi="Arial Rounded MT Bold"/>
                          <w:color w:val="3a7ca0"/>
                          <w:u w:color="bfbfbf"/>
                          <w:rtl w:val="0"/>
                          <w:lang w:val="en-US"/>
                        </w:rPr>
                        <w:t>June 2017</w:t>
                      </w:r>
                    </w:p>
                  </w:txbxContent>
                </v:textbox>
                <w10:wrap type="none" side="bothSides" anchorx="text"/>
              </v:rect>
            </w:pict>
          </mc:Fallback>
        </mc:AlternateContent>
      </w:r>
      <w:r>
        <mc:AlternateContent>
          <mc:Choice Requires="wps">
            <w:drawing>
              <wp:anchor distT="0" distB="0" distL="0" distR="0" simplePos="0" relativeHeight="251659264" behindDoc="0" locked="0" layoutInCell="1" allowOverlap="1">
                <wp:simplePos x="0" y="0"/>
                <wp:positionH relativeFrom="margin">
                  <wp:posOffset>1388168</wp:posOffset>
                </wp:positionH>
                <wp:positionV relativeFrom="page">
                  <wp:posOffset>243205</wp:posOffset>
                </wp:positionV>
                <wp:extent cx="4647507" cy="49403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647507" cy="494031"/>
                        </a:xfrm>
                        <a:prstGeom prst="rect">
                          <a:avLst/>
                        </a:prstGeom>
                        <a:noFill/>
                        <a:ln w="12700" cap="flat">
                          <a:noFill/>
                          <a:miter lim="400000"/>
                        </a:ln>
                        <a:effectLst/>
                      </wps:spPr>
                      <wps:txbx>
                        <w:txbxContent>
                          <w:p>
                            <w:pPr>
                              <w:pStyle w:val="Body"/>
                              <w:jc w:val="right"/>
                            </w:pPr>
                            <w:r>
                              <w:rPr>
                                <w:rFonts w:ascii="Arial" w:hAnsi="Arial"/>
                                <w:sz w:val="32"/>
                                <w:szCs w:val="32"/>
                                <w:rtl w:val="0"/>
                                <w:lang w:val="en-US"/>
                              </w:rPr>
                              <w:t>Risk Assessment Policy</w:t>
                            </w:r>
                          </w:p>
                        </w:txbxContent>
                      </wps:txbx>
                      <wps:bodyPr wrap="square" lIns="50800" tIns="50800" rIns="50800" bIns="50800" numCol="1" anchor="t">
                        <a:noAutofit/>
                      </wps:bodyPr>
                    </wps:wsp>
                  </a:graphicData>
                </a:graphic>
              </wp:anchor>
            </w:drawing>
          </mc:Choice>
          <mc:Fallback>
            <w:pict>
              <v:rect id="_x0000_s1027" style="visibility:visible;position:absolute;margin-left:109.3pt;margin-top:19.2pt;width:365.9pt;height:38.9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Arial" w:hAnsi="Arial"/>
                          <w:sz w:val="32"/>
                          <w:szCs w:val="32"/>
                          <w:rtl w:val="0"/>
                          <w:lang w:val="en-US"/>
                        </w:rPr>
                        <w:t>Risk Assessment Policy</w:t>
                      </w:r>
                    </w:p>
                  </w:txbxContent>
                </v:textbox>
                <w10:wrap type="none" side="bothSides" anchorx="margin" anchory="page"/>
              </v:rect>
            </w:pict>
          </mc:Fallback>
        </mc:AlternateConten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w:t>
      </w:r>
      <w:r>
        <w:rPr>
          <w:rFonts w:ascii="Arial" w:hAnsi="Arial"/>
          <w:sz w:val="22"/>
          <w:szCs w:val="22"/>
          <w:rtl w:val="0"/>
          <w:lang w:val="en-US"/>
        </w:rPr>
        <w:t>he school</w:t>
      </w:r>
      <w:r>
        <w:rPr>
          <w:rFonts w:ascii="Arial" w:hAnsi="Arial" w:hint="default"/>
          <w:sz w:val="22"/>
          <w:szCs w:val="22"/>
          <w:rtl w:val="0"/>
        </w:rPr>
        <w:t>’</w:t>
      </w:r>
      <w:r>
        <w:rPr>
          <w:rFonts w:ascii="Arial" w:hAnsi="Arial"/>
          <w:sz w:val="22"/>
          <w:szCs w:val="22"/>
          <w:rtl w:val="0"/>
          <w:lang w:val="en-US"/>
        </w:rPr>
        <w:t>s Governors are committed to promoting the safety and welfare of all members of the school community. Governors</w:t>
      </w:r>
      <w:r>
        <w:rPr>
          <w:rFonts w:ascii="Arial" w:hAnsi="Arial" w:hint="default"/>
          <w:sz w:val="22"/>
          <w:szCs w:val="22"/>
          <w:rtl w:val="0"/>
        </w:rPr>
        <w:t xml:space="preserve">’ </w:t>
      </w:r>
      <w:r>
        <w:rPr>
          <w:rFonts w:ascii="Arial" w:hAnsi="Arial"/>
          <w:sz w:val="22"/>
          <w:szCs w:val="22"/>
          <w:rtl w:val="0"/>
          <w:lang w:val="en-US"/>
        </w:rPr>
        <w:t>priority lies in ensuring that all operations within the school environment, both educational and support, are delivered in a safe manner that complies fully not just with the law but with best practice. It is recognised that risks are inherent in everyday life and that the need is to identify them and adopt systems for minimising them. It is important for our pupils to be educated to cope safely with risk.</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What is a Risk Assessment</w:t>
      </w:r>
    </w:p>
    <w:p>
      <w:pPr>
        <w:pStyle w:val="Body"/>
        <w:bidi w:val="0"/>
        <w:ind w:left="0" w:right="0" w:firstLine="0"/>
        <w:jc w:val="left"/>
        <w:rPr>
          <w:rtl w:val="0"/>
        </w:rPr>
      </w:pPr>
      <w:r>
        <w:rPr>
          <w:rFonts w:ascii="Arial" w:hAnsi="Arial"/>
          <w:sz w:val="22"/>
          <w:szCs w:val="22"/>
          <w:rtl w:val="0"/>
          <w:lang w:val="en-US"/>
        </w:rPr>
        <w:t>A risk assessment is a tool for conducting a formal examination of the harm or hazard to people (or an organisation) that could result from a particular activity or situation:</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 hazard is something with the potential to cause harm.</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 risk is an evaluation of the probability (or likelihood) of the hazard occurring.</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 risk assessment is the resulting assessment of the severity of the outcome (for</w:t>
      </w:r>
      <w:r>
        <w:rPr>
          <w:rFonts w:ascii="Arial" w:hAnsi="Arial"/>
          <w:sz w:val="22"/>
          <w:szCs w:val="22"/>
          <w:rtl w:val="0"/>
          <w:lang w:val="en-US"/>
        </w:rPr>
        <w:t xml:space="preserve"> </w:t>
      </w:r>
      <w:r>
        <w:rPr>
          <w:rFonts w:ascii="Arial" w:hAnsi="Arial"/>
          <w:sz w:val="22"/>
          <w:szCs w:val="22"/>
          <w:rtl w:val="0"/>
          <w:lang w:val="en-US"/>
        </w:rPr>
        <w:t>example, loss of life, destruction of property).</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control measures are the measures and procedures that are put in place in</w:t>
      </w:r>
    </w:p>
    <w:p>
      <w:pPr>
        <w:pStyle w:val="Body"/>
        <w:bidi w:val="0"/>
        <w:ind w:left="0" w:right="0" w:firstLine="0"/>
        <w:jc w:val="left"/>
        <w:rPr>
          <w:rtl w:val="0"/>
        </w:rPr>
      </w:pPr>
      <w:r>
        <w:rPr>
          <w:rFonts w:ascii="Arial" w:hAnsi="Arial"/>
          <w:sz w:val="22"/>
          <w:szCs w:val="22"/>
          <w:rtl w:val="0"/>
          <w:lang w:val="en-US"/>
        </w:rPr>
        <w:t>order to minimise the consequences of unfettered risk (for example, staff training, clear work procedures, preliminary visits, warning signs, barriers and insurance).</w:t>
      </w:r>
    </w:p>
    <w:p>
      <w:pPr>
        <w:pStyle w:val="Body"/>
        <w:bidi w:val="0"/>
        <w:ind w:left="0" w:right="0" w:firstLine="0"/>
        <w:jc w:val="left"/>
        <w:rPr>
          <w:rtl w:val="0"/>
        </w:rPr>
      </w:pPr>
      <w:r>
        <w:rPr>
          <w:rFonts w:ascii="Arial" w:hAnsi="Arial"/>
          <w:sz w:val="22"/>
          <w:szCs w:val="22"/>
          <w:rtl w:val="0"/>
          <w:lang w:val="en-US"/>
        </w:rPr>
        <w:t>Risk assessments can be used to identify potential hazards to people (slipping, falling) and property (fire) and strategic hazards (reputation, loss of pupils, impact on development), financial hazards (falling pupil rolls), compliance hazards (Child Protection issues) and environmental hazards (asbestos, legionella).</w:t>
      </w:r>
    </w:p>
    <w:p>
      <w:pPr>
        <w:pStyle w:val="Body"/>
        <w:bidi w:val="0"/>
        <w:ind w:left="0" w:right="0" w:firstLine="0"/>
        <w:jc w:val="left"/>
        <w:rPr>
          <w:rtl w:val="0"/>
        </w:rPr>
      </w:pPr>
      <w:r>
        <w:rPr>
          <w:rFonts w:ascii="Arial" w:hAnsi="Arial"/>
          <w:sz w:val="22"/>
          <w:szCs w:val="22"/>
          <w:rtl w:val="0"/>
          <w:lang w:val="en-US"/>
        </w:rPr>
        <w:t>It is recognised that accidents and injuries can ruin lives, damage reputations and cost money, and it is recognised that preventative measures can often be surprisingly simple and cost effective, for example, the application of hazard warning tape to a trip hazard, or ensuring that chemicals are properly stored in locked containers.</w:t>
      </w:r>
    </w:p>
    <w:p>
      <w:pPr>
        <w:pStyle w:val="Body"/>
        <w:bidi w:val="0"/>
        <w:ind w:left="0" w:right="0" w:firstLine="0"/>
        <w:jc w:val="left"/>
        <w:rPr>
          <w:rtl w:val="0"/>
        </w:rPr>
      </w:pPr>
      <w:r>
        <w:rPr>
          <w:rFonts w:ascii="Arial" w:hAnsi="Arial"/>
          <w:sz w:val="22"/>
          <w:szCs w:val="22"/>
          <w:rtl w:val="0"/>
          <w:lang w:val="en-US"/>
        </w:rPr>
        <w:t>Risk assessments are reviewed and updated annually by Heads of Department, Trip leaders and the School Business Manager.</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What areas require risk assessments?</w:t>
      </w:r>
    </w:p>
    <w:p>
      <w:pPr>
        <w:pStyle w:val="Body"/>
        <w:bidi w:val="0"/>
        <w:ind w:left="0" w:right="0" w:firstLine="0"/>
        <w:jc w:val="left"/>
        <w:rPr>
          <w:rtl w:val="0"/>
        </w:rPr>
      </w:pPr>
      <w:r>
        <w:rPr>
          <w:rFonts w:ascii="Arial" w:hAnsi="Arial"/>
          <w:sz w:val="22"/>
          <w:szCs w:val="22"/>
          <w:rtl w:val="0"/>
          <w:lang w:val="en-US"/>
        </w:rPr>
        <w:t>There are numerous activities carried out at the school, each of which requires its own separate risk assessment. Areas in which risk assessments are of particular importance are:</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pt-PT"/>
        </w:rPr>
      </w:pPr>
      <w:r>
        <w:rPr>
          <w:rFonts w:ascii="Arial" w:hAnsi="Arial"/>
          <w:sz w:val="22"/>
          <w:szCs w:val="22"/>
          <w:rtl w:val="0"/>
          <w:lang w:val="pt-PT"/>
        </w:rPr>
        <w:t>Asbestos Control</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Educational Visits and Trips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Fire Safety</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Health and Safety</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assessments are also needed for many other areas, including:</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Educational</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Science</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Food Technology</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Sport and PE</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Art and Design</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Music (including minimising the risk of hearing loss)</w:t>
      </w:r>
    </w:p>
    <w:p>
      <w:pPr>
        <w:pStyle w:val="Body"/>
        <w:numPr>
          <w:ilvl w:val="0"/>
          <w:numId w:val="2"/>
        </w:numPr>
        <w:bidi w:val="0"/>
        <w:ind w:right="0"/>
        <w:jc w:val="left"/>
        <w:rPr>
          <w:rFonts w:ascii="Arial" w:hAnsi="Arial"/>
          <w:sz w:val="22"/>
          <w:szCs w:val="22"/>
          <w:rtl w:val="0"/>
          <w:lang w:val="fr-FR"/>
        </w:rPr>
      </w:pPr>
      <w:r>
        <w:rPr>
          <w:rFonts w:ascii="Arial" w:hAnsi="Arial"/>
          <w:sz w:val="22"/>
          <w:szCs w:val="22"/>
          <w:rtl w:val="0"/>
          <w:lang w:val="fr-FR"/>
        </w:rPr>
        <w:t>DramaDance</w:t>
      </w:r>
    </w:p>
    <w:p>
      <w:pPr>
        <w:pStyle w:val="Body"/>
        <w:bidi w:val="0"/>
        <w:ind w:left="0" w:right="0" w:firstLine="0"/>
        <w:jc w:val="left"/>
        <w:rPr>
          <w:rtl w:val="0"/>
        </w:rPr>
      </w:pPr>
      <w:r>
        <w:rPr>
          <w:rFonts w:ascii="Arial" w:hAnsi="Arial"/>
          <w:sz w:val="22"/>
          <w:szCs w:val="22"/>
          <w:rtl w:val="0"/>
          <w:lang w:val="en-US"/>
        </w:rPr>
        <w:t>The school makes use of model or generic risk assessments for educational activities and visits</w:t>
      </w:r>
      <w:r>
        <w:rPr>
          <w:rFonts w:ascii="Arial" w:hAnsi="Arial"/>
          <w:sz w:val="22"/>
          <w:szCs w:val="22"/>
          <w:rtl w:val="0"/>
          <w:lang w:val="en-US"/>
        </w:rPr>
        <w:t xml:space="preserve"> through the EVOLVE system. </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it-IT"/>
        </w:rPr>
        <w:t>Pastoral</w:t>
      </w:r>
    </w:p>
    <w:p>
      <w:pPr>
        <w:pStyle w:val="Body"/>
        <w:bidi w:val="0"/>
        <w:ind w:left="0" w:right="0" w:firstLine="0"/>
        <w:jc w:val="left"/>
        <w:rPr>
          <w:rtl w:val="0"/>
        </w:rPr>
      </w:pPr>
      <w:r>
        <w:rPr>
          <w:rFonts w:ascii="Arial" w:hAnsi="Arial"/>
          <w:sz w:val="22"/>
          <w:szCs w:val="22"/>
          <w:rtl w:val="0"/>
          <w:lang w:val="en-US"/>
        </w:rPr>
        <w:t xml:space="preserve">The focus of our pastoral care is to ensure that each pupil becomes a confident, articulate young adult capable of keeping him/herself safe whether at home or outside the home. Our PSHE programmes and assemblies are directed </w:t>
      </w:r>
      <w:r>
        <w:rPr>
          <w:rFonts w:ascii="Arial" w:hAnsi="Arial"/>
          <w:sz w:val="22"/>
          <w:szCs w:val="22"/>
          <w:rtl w:val="0"/>
          <w:lang w:val="en-US"/>
        </w:rPr>
        <w:t>towards</w:t>
      </w:r>
      <w:r>
        <w:rPr>
          <w:rFonts w:ascii="Arial" w:hAnsi="Arial"/>
          <w:sz w:val="22"/>
          <w:szCs w:val="22"/>
          <w:rtl w:val="0"/>
          <w:lang w:val="en-US"/>
        </w:rPr>
        <w:t xml:space="preserve"> promoting an increasing understanding as the pupil develops, of the risks that exist in both the real and the electronic worlds, and of sensible precautions that should be taken. Our Science lessons encourage pupils to conduct their own safety-related research into the potential hazards of chemicals, gas, electricity and flammable materials.</w:t>
      </w:r>
    </w:p>
    <w:p>
      <w:pPr>
        <w:pStyle w:val="Body"/>
        <w:bidi w:val="0"/>
        <w:ind w:left="0" w:right="0" w:firstLine="0"/>
        <w:jc w:val="left"/>
        <w:rPr>
          <w:rtl w:val="0"/>
        </w:rPr>
      </w:pPr>
      <w:r>
        <w:rPr>
          <w:rFonts w:ascii="Arial" w:hAnsi="Arial"/>
          <w:sz w:val="22"/>
          <w:szCs w:val="22"/>
          <w:rtl w:val="0"/>
          <w:lang w:val="en-US"/>
        </w:rPr>
        <w:t>Medical and First Aid</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 xml:space="preserve">The accident forms are kept in </w:t>
      </w:r>
      <w:r>
        <w:rPr>
          <w:rFonts w:ascii="Arial" w:hAnsi="Arial"/>
          <w:sz w:val="22"/>
          <w:szCs w:val="22"/>
          <w:rtl w:val="0"/>
          <w:lang w:val="en-US"/>
        </w:rPr>
        <w:t>each classroom</w:t>
      </w:r>
      <w:r>
        <w:rPr>
          <w:rFonts w:ascii="Arial" w:hAnsi="Arial"/>
          <w:sz w:val="22"/>
          <w:szCs w:val="22"/>
          <w:rtl w:val="0"/>
          <w:lang w:val="en-US"/>
        </w:rPr>
        <w:t>, and it is the injured person, witness or First Aider who is responsible for ensuring that accident reports are passed to the School Business Manager, Heads of Department and the relevant senior member(s) of staff.</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Child Protection</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Our Child Protection Policies 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Governors, volunteers and the adult members of the families of staff who are accommodated on site, and by ensuring that everyone in our community receives regular Child Protection training, we manage this risk to an acceptable level.</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Support Areas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Catering and Cleaning</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assessments and training cover all significant risks concerning catering and cleaning equipment, manual handling, slips and trips and the control of substances hazardous to health (COSHH). Induction training and refresher training cover risk assessments, protective equipment and safety notices.</w:t>
      </w:r>
    </w:p>
    <w:p>
      <w:pPr>
        <w:pStyle w:val="Body"/>
        <w:bidi w:val="0"/>
        <w:ind w:left="0" w:right="0" w:firstLine="0"/>
        <w:jc w:val="left"/>
        <w:rPr>
          <w:rtl w:val="0"/>
        </w:rPr>
      </w:pPr>
      <w:r>
        <w:rPr>
          <w:rFonts w:ascii="Arial" w:hAnsi="Arial"/>
          <w:sz w:val="22"/>
          <w:szCs w:val="22"/>
          <w:rtl w:val="0"/>
          <w:lang w:val="en-US"/>
        </w:rPr>
        <w:t>Caretaking and Security</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assessments cover all significant risks. Particular emphasis in training is given to minimising fire risks and security risks by adhering to good practice. Risk assessments also cover manual handling, working at heights, and asbestos. Induction training and refresher training include training on risk assessments, protective equipment and safety notices.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fr-FR"/>
        </w:rPr>
        <w:t>Maintenance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assessments and training cover all significant risks including, manual handling, slips and trips, working at height, lone working, asbestos, control of contractors onsite, electricity, gas, water, and the control of substances hazardous to health (COSHH). Induction training and refresher training include training on risk assessments, safe working practices, communication and health and safety notices and protective equipment. External Contractors are required to ensure safe working practices including the use of appropriate PPE.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Grounds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Risk assessments and training cover all significant risks including manual handling, slips and trips, working at height, lone working, use of pesticides, storage of flammables and COSHH. Induction training and refresher training include training on risk assessments, protective equipment and safety notices. External Contractors are required to ensure safe working practices including the use of appropriate PPE.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Administrative Staff</w:t>
      </w:r>
    </w:p>
    <w:p>
      <w:pPr>
        <w:pStyle w:val="Body"/>
        <w:bidi w:val="0"/>
        <w:ind w:left="0" w:right="0" w:firstLine="0"/>
        <w:jc w:val="left"/>
        <w:rPr>
          <w:rtl w:val="0"/>
        </w:rPr>
      </w:pPr>
      <w:r>
        <w:rPr>
          <w:rFonts w:ascii="Arial" w:hAnsi="Arial"/>
          <w:sz w:val="22"/>
          <w:szCs w:val="22"/>
          <w:rtl w:val="0"/>
          <w:lang w:val="en-US"/>
        </w:rPr>
        <w:t>Risk assessments are required for the display screen equipment and cables used by those staff (primarily office-based) who spend the majority of their working day in front of a screen.</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Conducting a Risk Assessment</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school principally uses the model Risk Assessment recommended by the Local Authority.</w:t>
      </w:r>
    </w:p>
    <w:p>
      <w:pPr>
        <w:pStyle w:val="Body"/>
        <w:bidi w:val="0"/>
        <w:ind w:left="0" w:right="0" w:firstLine="0"/>
        <w:jc w:val="left"/>
        <w:rPr>
          <w:rtl w:val="0"/>
        </w:rPr>
      </w:pPr>
      <w:r>
        <w:rPr>
          <w:rFonts w:ascii="Arial" w:hAnsi="Arial"/>
          <w:sz w:val="22"/>
          <w:szCs w:val="22"/>
          <w:rtl w:val="0"/>
          <w:lang w:val="en-US"/>
        </w:rPr>
        <w:t>The school</w:t>
      </w:r>
      <w:r>
        <w:rPr>
          <w:rFonts w:ascii="Arial" w:hAnsi="Arial" w:hint="default"/>
          <w:sz w:val="22"/>
          <w:szCs w:val="22"/>
          <w:rtl w:val="0"/>
        </w:rPr>
        <w:t>’</w:t>
      </w:r>
      <w:r>
        <w:rPr>
          <w:rFonts w:ascii="Arial" w:hAnsi="Arial"/>
          <w:sz w:val="22"/>
          <w:szCs w:val="22"/>
          <w:rtl w:val="0"/>
          <w:lang w:val="en-US"/>
        </w:rPr>
        <w:t xml:space="preserve">s policy is not to carry out any high risk activity. Activities involving pupils are normally low risk. Some medium risk outward bound type activities are undertaken with pupils, for example on </w:t>
      </w:r>
      <w:r>
        <w:rPr>
          <w:rFonts w:ascii="Arial" w:hAnsi="Arial"/>
          <w:sz w:val="22"/>
          <w:szCs w:val="22"/>
          <w:rtl w:val="0"/>
          <w:lang w:val="en-US"/>
        </w:rPr>
        <w:t xml:space="preserve">trips and residential such as Robinwood. </w:t>
      </w:r>
      <w:r>
        <w:rPr>
          <w:rFonts w:ascii="Arial" w:hAnsi="Arial"/>
          <w:sz w:val="22"/>
          <w:szCs w:val="22"/>
          <w:rtl w:val="0"/>
          <w:lang w:val="en-US"/>
        </w:rPr>
        <w:t>The school uses only specialist</w:t>
      </w:r>
      <w:r>
        <w:rPr>
          <w:rFonts w:ascii="Arial" w:hAnsi="Arial"/>
          <w:sz w:val="22"/>
          <w:szCs w:val="22"/>
          <w:rtl w:val="0"/>
          <w:lang w:val="en-US"/>
        </w:rPr>
        <w:t xml:space="preserve"> </w:t>
      </w:r>
      <w:r>
        <w:rPr>
          <w:rFonts w:ascii="Arial" w:hAnsi="Arial"/>
          <w:sz w:val="22"/>
          <w:szCs w:val="22"/>
          <w:rtl w:val="0"/>
          <w:lang w:val="en-US"/>
        </w:rPr>
        <w:t>qualified instructors provided by the centres/schemes for these activities. We always employ specialists to run higher-risk tasks. School staff may carry out mediumratedactivitiesonlyiftheyhavebeenspecificallytrainedfortheactivity. In</w:t>
      </w:r>
      <w:r>
        <w:rPr>
          <w:rFonts w:ascii="Arial" w:hAnsi="Arial"/>
          <w:sz w:val="22"/>
          <w:szCs w:val="22"/>
          <w:rtl w:val="0"/>
          <w:lang w:val="en-US"/>
        </w:rPr>
        <w:t xml:space="preserve"> </w:t>
      </w:r>
      <w:r>
        <w:rPr>
          <w:rFonts w:ascii="Arial" w:hAnsi="Arial"/>
          <w:sz w:val="22"/>
          <w:szCs w:val="22"/>
          <w:rtl w:val="0"/>
          <w:lang w:val="en-US"/>
        </w:rPr>
        <w:t>the</w:t>
      </w:r>
      <w:r>
        <w:rPr>
          <w:rFonts w:ascii="Arial" w:hAnsi="Arial"/>
          <w:sz w:val="22"/>
          <w:szCs w:val="22"/>
          <w:rtl w:val="0"/>
          <w:lang w:val="en-US"/>
        </w:rPr>
        <w:t xml:space="preserve"> </w:t>
      </w:r>
      <w:r>
        <w:rPr>
          <w:rFonts w:ascii="Arial" w:hAnsi="Arial"/>
          <w:sz w:val="22"/>
          <w:szCs w:val="22"/>
          <w:rtl w:val="0"/>
          <w:lang w:val="en-US"/>
        </w:rPr>
        <w:t>event that external specialists will be working with pupils without school staff present they are required to have appropriate DBS checks.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Pupils are always:</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given a safety briefing before participating in medium/higher risk activities.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expected to wear personal protective equipment provided and assessed as required fo</w:t>
      </w:r>
      <w:r>
        <w:rPr>
          <w:rFonts w:ascii="Arial" w:hAnsi="Arial"/>
          <w:sz w:val="22"/>
          <w:szCs w:val="22"/>
          <w:rtl w:val="0"/>
          <w:lang w:val="en-US"/>
        </w:rPr>
        <w:t xml:space="preserve">r </w:t>
      </w:r>
      <w:r>
        <w:rPr>
          <w:rFonts w:ascii="Arial" w:hAnsi="Arial"/>
          <w:sz w:val="22"/>
          <w:szCs w:val="22"/>
          <w:rtl w:val="0"/>
          <w:lang w:val="en-US"/>
        </w:rPr>
        <w:t>the activity</w:t>
      </w:r>
      <w:r>
        <w:rPr>
          <w:rFonts w:ascii="Arial" w:hAnsi="Arial"/>
          <w:sz w:val="22"/>
          <w:szCs w:val="22"/>
          <w:rtl w:val="0"/>
          <w:lang w:val="en-US"/>
        </w:rPr>
        <w:t xml:space="preserve"> </w:t>
      </w:r>
      <w:r>
        <w:rPr>
          <w:rFonts w:ascii="Arial" w:hAnsi="Arial"/>
          <w:sz w:val="22"/>
          <w:szCs w:val="22"/>
          <w:rtl w:val="0"/>
          <w:lang w:val="en-US"/>
        </w:rPr>
        <w:t>expected to follow instructions.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All members of staff are also expected to wear personal protective equipment for tasks that have been assessed as requiring its use.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Specialist Risk Assessments and High-Risk Activities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We always employ specialists to carry out high risk tasks at the school. The School Business Manager arranges for specialists to carry out risk assessments concerning the following:</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it-IT"/>
        </w:rPr>
      </w:pPr>
      <w:r>
        <w:rPr>
          <w:rFonts w:ascii="Arial" w:hAnsi="Arial"/>
          <w:sz w:val="22"/>
          <w:szCs w:val="22"/>
          <w:rtl w:val="0"/>
          <w:lang w:val="it-IT"/>
        </w:rPr>
        <w:t>Fire</w:t>
      </w:r>
    </w:p>
    <w:p>
      <w:pPr>
        <w:pStyle w:val="Body"/>
        <w:numPr>
          <w:ilvl w:val="0"/>
          <w:numId w:val="2"/>
        </w:numPr>
        <w:bidi w:val="0"/>
        <w:ind w:right="0"/>
        <w:jc w:val="left"/>
        <w:rPr>
          <w:rFonts w:ascii="Arial" w:hAnsi="Arial"/>
          <w:sz w:val="22"/>
          <w:szCs w:val="22"/>
          <w:rtl w:val="0"/>
          <w:lang w:val="pt-PT"/>
        </w:rPr>
      </w:pPr>
      <w:r>
        <w:rPr>
          <w:rFonts w:ascii="Arial" w:hAnsi="Arial"/>
          <w:sz w:val="22"/>
          <w:szCs w:val="22"/>
          <w:rtl w:val="0"/>
          <w:lang w:val="pt-PT"/>
        </w:rPr>
        <w:t>Asbestos</w:t>
      </w:r>
    </w:p>
    <w:p>
      <w:pPr>
        <w:pStyle w:val="Body"/>
        <w:numPr>
          <w:ilvl w:val="0"/>
          <w:numId w:val="2"/>
        </w:numPr>
        <w:bidi w:val="0"/>
        <w:ind w:right="0"/>
        <w:jc w:val="left"/>
        <w:rPr>
          <w:rFonts w:ascii="Arial" w:hAnsi="Arial"/>
          <w:sz w:val="22"/>
          <w:szCs w:val="22"/>
          <w:rtl w:val="0"/>
          <w:lang w:val="it-IT"/>
        </w:rPr>
      </w:pPr>
      <w:r>
        <w:rPr>
          <w:rFonts w:ascii="Arial" w:hAnsi="Arial"/>
          <w:sz w:val="22"/>
          <w:szCs w:val="22"/>
          <w:rtl w:val="0"/>
          <w:lang w:val="it-IT"/>
        </w:rPr>
        <w:t xml:space="preserve">Legionella </w:t>
      </w:r>
    </w:p>
    <w:p>
      <w:pPr>
        <w:pStyle w:val="Body"/>
        <w:numPr>
          <w:ilvl w:val="0"/>
          <w:numId w:val="2"/>
        </w:numPr>
        <w:bidi w:val="0"/>
        <w:ind w:right="0"/>
        <w:jc w:val="left"/>
        <w:rPr>
          <w:rFonts w:ascii="Arial" w:hAnsi="Arial"/>
          <w:sz w:val="22"/>
          <w:szCs w:val="22"/>
          <w:rtl w:val="0"/>
          <w:lang w:val="de-DE"/>
        </w:rPr>
      </w:pPr>
      <w:r>
        <w:rPr>
          <w:rFonts w:ascii="Arial" w:hAnsi="Arial"/>
          <w:sz w:val="22"/>
          <w:szCs w:val="22"/>
          <w:rtl w:val="0"/>
          <w:lang w:val="de-DE"/>
        </w:rPr>
        <w:t>Gas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Electricity</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Review of Risk Assessments</w:t>
      </w:r>
    </w:p>
    <w:p>
      <w:pPr>
        <w:pStyle w:val="Body"/>
        <w:bidi w:val="0"/>
        <w:ind w:left="0" w:right="0" w:firstLine="0"/>
        <w:jc w:val="left"/>
        <w:rPr>
          <w:rtl w:val="0"/>
        </w:rPr>
      </w:pPr>
      <w:r>
        <w:rPr>
          <w:rFonts w:ascii="Arial" w:hAnsi="Arial"/>
          <w:sz w:val="22"/>
          <w:szCs w:val="22"/>
          <w:rtl w:val="0"/>
          <w:lang w:val="en-US"/>
        </w:rPr>
        <w:t>All risk assessments are regularly reviewed. Risk assessments are in place for all areas.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Premises Management Policy details the school</w:t>
      </w:r>
      <w:r>
        <w:rPr>
          <w:rFonts w:ascii="Arial" w:hAnsi="Arial" w:hint="default"/>
          <w:sz w:val="22"/>
          <w:szCs w:val="22"/>
          <w:rtl w:val="0"/>
        </w:rPr>
        <w:t>’</w:t>
      </w:r>
      <w:r>
        <w:rPr>
          <w:rFonts w:ascii="Arial" w:hAnsi="Arial"/>
          <w:sz w:val="22"/>
          <w:szCs w:val="22"/>
          <w:rtl w:val="0"/>
          <w:lang w:val="en-US"/>
        </w:rPr>
        <w:t>s arrangements in relation to Health and Safety.</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school maintains a copy of completed risk assessments and these are available for reference.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Responsibilities of All Staff</w:t>
      </w:r>
    </w:p>
    <w:p>
      <w:pPr>
        <w:pStyle w:val="Body"/>
        <w:bidi w:val="0"/>
        <w:ind w:left="0" w:right="0" w:firstLine="0"/>
        <w:jc w:val="left"/>
        <w:rPr>
          <w:rtl w:val="0"/>
        </w:rPr>
      </w:pPr>
      <w:r>
        <w:rPr>
          <w:rFonts w:ascii="Arial" w:hAnsi="Arial"/>
          <w:sz w:val="22"/>
          <w:szCs w:val="22"/>
          <w:rtl w:val="0"/>
          <w:lang w:val="en-US"/>
        </w:rPr>
        <w:t>All members of staff are given an induction into the school</w:t>
      </w:r>
      <w:r>
        <w:rPr>
          <w:rFonts w:ascii="Arial" w:hAnsi="Arial" w:hint="default"/>
          <w:sz w:val="22"/>
          <w:szCs w:val="22"/>
          <w:rtl w:val="0"/>
        </w:rPr>
        <w:t>’</w:t>
      </w:r>
      <w:r>
        <w:rPr>
          <w:rFonts w:ascii="Arial" w:hAnsi="Arial"/>
          <w:sz w:val="22"/>
          <w:szCs w:val="22"/>
          <w:rtl w:val="0"/>
          <w:lang w:val="en-US"/>
        </w:rPr>
        <w:t>s health and safety arrangements including risk assessments, and records are kept of all induction training.</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Specialist training is given to those whose work requires it. Staff are, however, responsible for taking reasonable care of their own safety, together with that of pupils and visitors. They are</w:t>
      </w:r>
      <w:r>
        <w:rPr>
          <w:rFonts w:ascii="Arial" w:hAnsi="Arial"/>
          <w:sz w:val="22"/>
          <w:szCs w:val="22"/>
          <w:rtl w:val="0"/>
          <w:lang w:val="en-US"/>
        </w:rPr>
        <w:t xml:space="preserve"> </w:t>
      </w:r>
      <w:r>
        <w:rPr>
          <w:rFonts w:ascii="Arial" w:hAnsi="Arial"/>
          <w:sz w:val="22"/>
          <w:szCs w:val="22"/>
          <w:rtl w:val="0"/>
          <w:lang w:val="en-US"/>
        </w:rPr>
        <w:t>responsible for cooperating with the Head, the School Business Manager and other members of the SMT in order to enable the Governors to comply with their Health and Safety duties. All members of staff are responsible for reporting any risks or defects to the Site Manager or School Business Manager.</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Accident Reporting</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school first aider is responsible for completing accident/incident reports and HSE notifications which are then referred to the school Business Manager to record. In accordance with the Reporting of Injuries Diseases and Dangerous Occurrence Regulations (RIDDOR), any notifiable accident that occurs on school premises involving a pupil, member of staff, parent, visitor or contractor must be recorded and reported to HSE. All notifiable accidents and near misses are reviewed by the schools Health and Safety Committee, with a view to assessing whether any measures need to be taken to prevent recurrence.</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Audit Compliance Statements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Governors carry out regular reviews of the Schools activities and the systems in use. This is for the purpose of planning for the future and assessing major risks to which the School is exposed. Health &amp; Safety is a standard agenda item on the Governors Premises committee meetings.</w:t>
      </w:r>
    </w:p>
    <w:p>
      <w:pPr>
        <w:pStyle w:val="Body"/>
        <w:bidi w:val="0"/>
        <w:ind w:left="0" w:right="0" w:firstLine="0"/>
        <w:jc w:val="left"/>
        <w:rPr>
          <w:rtl w:val="0"/>
        </w:rPr>
      </w:pPr>
      <w:r>
        <w:rPr>
          <w:rFonts w:ascii="Arial" w:hAnsi="Arial"/>
          <w:sz w:val="22"/>
          <w:szCs w:val="22"/>
          <w:rtl w:val="0"/>
          <w:lang w:val="en-US"/>
        </w:rPr>
        <w:t>The Governors are satisfied that systems are in place to mitigate exposure to major risks as summarised below:</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strategic risks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loss of income</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damage to reputation</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failure to teach the correct syllabus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Safeguarding &amp; Child Protection issues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gaps in Governor skills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conflicts of interest</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employment disputes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major Health and Safety issuespossible data loss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risks of fire, flood and land slip</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poor cash flow management</w:t>
      </w:r>
    </w:p>
    <w:p>
      <w:pPr>
        <w:pStyle w:val="Body"/>
        <w:numPr>
          <w:ilvl w:val="0"/>
          <w:numId w:val="2"/>
        </w:numPr>
        <w:bidi w:val="0"/>
        <w:ind w:right="0"/>
        <w:jc w:val="left"/>
        <w:rPr>
          <w:rFonts w:ascii="Arial" w:hAnsi="Arial"/>
          <w:sz w:val="22"/>
          <w:szCs w:val="22"/>
          <w:rtl w:val="0"/>
          <w:lang w:val="fr-FR"/>
        </w:rPr>
      </w:pPr>
      <w:r>
        <w:rPr>
          <w:rFonts w:ascii="Arial" w:hAnsi="Arial"/>
          <w:sz w:val="22"/>
          <w:szCs w:val="22"/>
          <w:rtl w:val="0"/>
          <w:lang w:val="fr-FR"/>
        </w:rPr>
        <w:t>fraud</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loss through inappropriate investments</w:t>
      </w:r>
    </w:p>
    <w:p>
      <w:pPr>
        <w:pStyle w:val="Body"/>
        <w:bidi w:val="0"/>
        <w:ind w:left="0" w:right="0" w:firstLine="0"/>
        <w:jc w:val="left"/>
        <w:rPr>
          <w:rtl w:val="0"/>
        </w:rPr>
      </w:pPr>
    </w:p>
    <w:p>
      <w:pPr>
        <w:pStyle w:val="Body"/>
        <w:bidi w:val="0"/>
        <w:ind w:left="0" w:right="0" w:firstLine="0"/>
        <w:jc w:val="left"/>
        <w:rPr>
          <w:rtl w:val="0"/>
        </w:rPr>
      </w:pPr>
      <w:r>
        <w:rPr>
          <w:rFonts w:ascii="Arial" w:hAnsi="Arial"/>
          <w:sz w:val="22"/>
          <w:szCs w:val="22"/>
          <w:rtl w:val="0"/>
          <w:lang w:val="en-US"/>
        </w:rPr>
        <w:t>The measures taken to protect the school against such risks, include:</w:t>
      </w:r>
    </w:p>
    <w:p>
      <w:pPr>
        <w:pStyle w:val="Body"/>
        <w:bidi w:val="0"/>
        <w:ind w:left="0" w:right="0" w:firstLine="0"/>
        <w:jc w:val="left"/>
        <w:rPr>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appointment of the headteacher as Accounting Officer</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safe recruitment of staff, Governors and volunteers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measures to ensure the selection, training and appraisal of appropriately qualified</w:t>
      </w:r>
      <w:r>
        <w:rPr>
          <w:rFonts w:ascii="Arial" w:hAnsi="Arial"/>
          <w:sz w:val="22"/>
          <w:szCs w:val="22"/>
          <w:rtl w:val="0"/>
          <w:lang w:val="en-US"/>
        </w:rPr>
        <w:t xml:space="preserve"> s</w:t>
      </w:r>
      <w:r>
        <w:rPr>
          <w:rFonts w:ascii="Arial" w:hAnsi="Arial"/>
          <w:sz w:val="22"/>
          <w:szCs w:val="22"/>
          <w:rtl w:val="0"/>
          <w:lang w:val="en-US"/>
        </w:rPr>
        <w:t>taff and Governors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insurance</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strong financial controls and procedures that are regularly reviewed</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use of professional advice from lawyers, accountants, architects, as needed</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formal review of compliance with the school</w:t>
      </w:r>
      <w:r>
        <w:rPr>
          <w:rFonts w:ascii="Arial" w:hAnsi="Arial" w:hint="default"/>
          <w:sz w:val="22"/>
          <w:szCs w:val="22"/>
          <w:rtl w:val="0"/>
        </w:rPr>
        <w:t>’</w:t>
      </w:r>
      <w:r>
        <w:rPr>
          <w:rFonts w:ascii="Arial" w:hAnsi="Arial"/>
          <w:sz w:val="22"/>
          <w:szCs w:val="22"/>
          <w:rtl w:val="0"/>
          <w:lang w:val="en-US"/>
        </w:rPr>
        <w:t>s charitable objectives via annual audit</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RO and annual audit of the schools financial records</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review and maintenance of the risk register</w:t>
      </w:r>
    </w:p>
    <w:sectPr>
      <w:headerReference w:type="default" r:id="rId4"/>
      <w:headerReference w:type="even" r:id="rId5"/>
      <w:footerReference w:type="default" r:id="rId6"/>
      <w:footerReference w:type="even" r:id="rId7"/>
      <w:pgSz w:w="11900" w:h="16840" w:orient="portrait"/>
      <w:pgMar w:top="2183" w:right="1843" w:bottom="1134" w:left="1843"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Didot">
    <w:charset w:val="00"/>
    <w:family w:val="roman"/>
    <w:pitch w:val="default"/>
  </w:font>
  <w:font w:name="Helvetica">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194"/>
        <w:tab w:val="clear" w:pos="9026"/>
      </w:tabs>
      <w:jc w:val="center"/>
    </w:pPr>
    <w:r>
      <w:rPr/>
      <w:fldChar w:fldCharType="begin" w:fldLock="0"/>
    </w:r>
    <w:r>
      <w:instrText xml:space="preserve"> PAGE </w:instrText>
    </w:r>
    <w:r>
      <w:rPr/>
      <w:fldChar w:fldCharType="separate" w:fldLock="0"/>
    </w:r>
    <w:r>
      <w:t>1</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8194"/>
        <w:tab w:val="clear" w:pos="8215"/>
      </w:tabs>
    </w:pPr>
    <w:r>
      <mc:AlternateContent>
        <mc:Choice Requires="wps">
          <w:drawing>
            <wp:anchor distT="152400" distB="152400" distL="152400" distR="152400" simplePos="0" relativeHeight="251658240" behindDoc="1" locked="0" layoutInCell="1" allowOverlap="1">
              <wp:simplePos x="0" y="0"/>
              <wp:positionH relativeFrom="page">
                <wp:posOffset>-121929</wp:posOffset>
              </wp:positionH>
              <wp:positionV relativeFrom="page">
                <wp:posOffset>0</wp:posOffset>
              </wp:positionV>
              <wp:extent cx="1595129" cy="174878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95129" cy="1748780"/>
                      </a:xfrm>
                      <a:custGeom>
                        <a:avLst/>
                        <a:gdLst/>
                        <a:ahLst/>
                        <a:cxnLst>
                          <a:cxn ang="0">
                            <a:pos x="wd2" y="hd2"/>
                          </a:cxn>
                          <a:cxn ang="5400000">
                            <a:pos x="wd2" y="hd2"/>
                          </a:cxn>
                          <a:cxn ang="10800000">
                            <a:pos x="wd2" y="hd2"/>
                          </a:cxn>
                          <a:cxn ang="16200000">
                            <a:pos x="wd2" y="hd2"/>
                          </a:cxn>
                        </a:cxnLst>
                        <a:rect l="0" t="0" r="r" b="b"/>
                        <a:pathLst>
                          <a:path w="19716" h="14470" fill="norm" stroke="1"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28" style="visibility:visible;position:absolute;margin-left:-9.6pt;margin-top:0.0pt;width:125.6pt;height:137.7pt;z-index:-251658240;mso-position-horizontal:absolute;mso-position-horizontal-relative:page;mso-position-vertical:absolute;mso-position-vertical-relative:page;mso-wrap-distance-left:12.0pt;mso-wrap-distance-top:12.0pt;mso-wrap-distance-right:12.0pt;mso-wrap-distance-bottom:12.0pt;"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-152286</wp:posOffset>
              </wp:positionH>
              <wp:positionV relativeFrom="page">
                <wp:posOffset>-368012</wp:posOffset>
              </wp:positionV>
              <wp:extent cx="5434222" cy="5484971"/>
              <wp:effectExtent l="0" t="0" r="0" b="0"/>
              <wp:wrapNone/>
              <wp:docPr id="1073741826" name="officeArt object"/>
              <wp:cNvGraphicFramePr/>
              <a:graphic xmlns:a="http://schemas.openxmlformats.org/drawingml/2006/main">
                <a:graphicData uri="http://schemas.microsoft.com/office/word/2010/wordprocessingShape">
                  <wps:wsp>
                    <wps:cNvSpPr/>
                    <wps:spPr>
                      <a:xfrm flipH="1" flipV="1">
                        <a:off x="0" y="0"/>
                        <a:ext cx="5434222" cy="5484971"/>
                      </a:xfrm>
                      <a:custGeom>
                        <a:avLst/>
                        <a:gdLst/>
                        <a:ahLst/>
                        <a:cxnLst>
                          <a:cxn ang="0">
                            <a:pos x="wd2" y="hd2"/>
                          </a:cxn>
                          <a:cxn ang="5400000">
                            <a:pos x="wd2" y="hd2"/>
                          </a:cxn>
                          <a:cxn ang="10800000">
                            <a:pos x="wd2" y="hd2"/>
                          </a:cxn>
                          <a:cxn ang="16200000">
                            <a:pos x="wd2" y="hd2"/>
                          </a:cxn>
                        </a:cxnLst>
                        <a:rect l="0" t="0" r="r" b="b"/>
                        <a:pathLst>
                          <a:path w="17350" h="15046" fill="norm" stroke="1"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29" style="visibility:visible;position:absolute;margin-left:-12.0pt;margin-top:-29.0pt;width:427.9pt;height:431.9pt;z-index:-251657216;mso-position-horizontal:absolute;mso-position-horizontal-relative:page;mso-position-vertical:absolute;mso-position-vertical-relative:page;mso-wrap-distance-left:12.0pt;mso-wrap-distance-top:12.0pt;mso-wrap-distance-right:12.0pt;mso-wrap-distance-bottom:12.0pt;flip:x y;" coordorigin="3680,5939" coordsize="17350,15046" path="M 4962,20499 C 4962,20499 19524,18841 20562,9420 C 21600,0 20586,12681 20586,12681 C 20586,12681 19200,19370 9600,20485 C 0,21600 4962,20499 4962,20499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5989320</wp:posOffset>
              </wp:positionH>
              <wp:positionV relativeFrom="page">
                <wp:posOffset>8671571</wp:posOffset>
              </wp:positionV>
              <wp:extent cx="1727210" cy="2019289"/>
              <wp:effectExtent l="0" t="0" r="0" b="0"/>
              <wp:wrapNone/>
              <wp:docPr id="1073741827" name="officeArt object"/>
              <wp:cNvGraphicFramePr/>
              <a:graphic xmlns:a="http://schemas.openxmlformats.org/drawingml/2006/main">
                <a:graphicData uri="http://schemas.microsoft.com/office/word/2010/wordprocessingShape">
                  <wps:wsp>
                    <wps:cNvSpPr/>
                    <wps:spPr>
                      <a:xfrm flipH="1" flipV="1">
                        <a:off x="0" y="0"/>
                        <a:ext cx="1727210" cy="2019289"/>
                      </a:xfrm>
                      <a:custGeom>
                        <a:avLst/>
                        <a:gdLst/>
                        <a:ahLst/>
                        <a:cxnLst>
                          <a:cxn ang="0">
                            <a:pos x="wd2" y="hd2"/>
                          </a:cxn>
                          <a:cxn ang="5400000">
                            <a:pos x="wd2" y="hd2"/>
                          </a:cxn>
                          <a:cxn ang="10800000">
                            <a:pos x="wd2" y="hd2"/>
                          </a:cxn>
                          <a:cxn ang="16200000">
                            <a:pos x="wd2" y="hd2"/>
                          </a:cxn>
                        </a:cxnLst>
                        <a:rect l="0" t="0" r="r" b="b"/>
                        <a:pathLst>
                          <a:path w="19716" h="14470" fill="norm" stroke="1"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0" style="visibility:visible;position:absolute;margin-left:471.6pt;margin-top:682.8pt;width:136.0pt;height:159.0pt;z-index:-251656192;mso-position-horizontal:absolute;mso-position-horizontal-relative:page;mso-position-vertical:absolute;mso-position-vertical-relative:page;mso-wrap-distance-left:12.0pt;mso-wrap-distance-top:12.0pt;mso-wrap-distance-right:12.0pt;mso-wrap-distance-bottom:12.0pt;flip:x y;"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Arial Unicode MS" w:hAnsi="Arial Unicode MS"/>
        <w:b w:val="0"/>
        <w:bCs w:val="0"/>
      </w:rPr>
      <w:br w:type="textWrapp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8194"/>
        <w:tab w:val="clear" w:pos="8215"/>
      </w:tabs>
    </w:pPr>
    <w:r>
      <mc:AlternateContent>
        <mc:Choice Requires="wps">
          <w:drawing>
            <wp:anchor distT="152400" distB="152400" distL="152400" distR="152400" simplePos="0" relativeHeight="251658240" behindDoc="1" locked="0" layoutInCell="1" allowOverlap="1">
              <wp:simplePos x="0" y="0"/>
              <wp:positionH relativeFrom="page">
                <wp:posOffset>-121929</wp:posOffset>
              </wp:positionH>
              <wp:positionV relativeFrom="page">
                <wp:posOffset>0</wp:posOffset>
              </wp:positionV>
              <wp:extent cx="1595129" cy="17487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595129" cy="1748780"/>
                      </a:xfrm>
                      <a:custGeom>
                        <a:avLst/>
                        <a:gdLst/>
                        <a:ahLst/>
                        <a:cxnLst>
                          <a:cxn ang="0">
                            <a:pos x="wd2" y="hd2"/>
                          </a:cxn>
                          <a:cxn ang="5400000">
                            <a:pos x="wd2" y="hd2"/>
                          </a:cxn>
                          <a:cxn ang="10800000">
                            <a:pos x="wd2" y="hd2"/>
                          </a:cxn>
                          <a:cxn ang="16200000">
                            <a:pos x="wd2" y="hd2"/>
                          </a:cxn>
                        </a:cxnLst>
                        <a:rect l="0" t="0" r="r" b="b"/>
                        <a:pathLst>
                          <a:path w="19716" h="14470" fill="norm" stroke="1"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1" style="visibility:visible;position:absolute;margin-left:-9.6pt;margin-top:0.0pt;width:125.6pt;height:137.7pt;z-index:-251658240;mso-position-horizontal:absolute;mso-position-horizontal-relative:page;mso-position-vertical:absolute;mso-position-vertical-relative:page;mso-wrap-distance-left:12.0pt;mso-wrap-distance-top:12.0pt;mso-wrap-distance-right:12.0pt;mso-wrap-distance-bottom:12.0pt;"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-152286</wp:posOffset>
              </wp:positionH>
              <wp:positionV relativeFrom="page">
                <wp:posOffset>-368012</wp:posOffset>
              </wp:positionV>
              <wp:extent cx="5434222" cy="5484971"/>
              <wp:effectExtent l="0" t="0" r="0" b="0"/>
              <wp:wrapNone/>
              <wp:docPr id="1073741829" name="officeArt object"/>
              <wp:cNvGraphicFramePr/>
              <a:graphic xmlns:a="http://schemas.openxmlformats.org/drawingml/2006/main">
                <a:graphicData uri="http://schemas.microsoft.com/office/word/2010/wordprocessingShape">
                  <wps:wsp>
                    <wps:cNvSpPr/>
                    <wps:spPr>
                      <a:xfrm flipH="1" flipV="1">
                        <a:off x="0" y="0"/>
                        <a:ext cx="5434222" cy="5484971"/>
                      </a:xfrm>
                      <a:custGeom>
                        <a:avLst/>
                        <a:gdLst/>
                        <a:ahLst/>
                        <a:cxnLst>
                          <a:cxn ang="0">
                            <a:pos x="wd2" y="hd2"/>
                          </a:cxn>
                          <a:cxn ang="5400000">
                            <a:pos x="wd2" y="hd2"/>
                          </a:cxn>
                          <a:cxn ang="10800000">
                            <a:pos x="wd2" y="hd2"/>
                          </a:cxn>
                          <a:cxn ang="16200000">
                            <a:pos x="wd2" y="hd2"/>
                          </a:cxn>
                        </a:cxnLst>
                        <a:rect l="0" t="0" r="r" b="b"/>
                        <a:pathLst>
                          <a:path w="17350" h="15046" fill="norm" stroke="1"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2" style="visibility:visible;position:absolute;margin-left:-12.0pt;margin-top:-29.0pt;width:427.9pt;height:431.9pt;z-index:-251657216;mso-position-horizontal:absolute;mso-position-horizontal-relative:page;mso-position-vertical:absolute;mso-position-vertical-relative:page;mso-wrap-distance-left:12.0pt;mso-wrap-distance-top:12.0pt;mso-wrap-distance-right:12.0pt;mso-wrap-distance-bottom:12.0pt;flip:x y;" coordorigin="3680,5939" coordsize="17350,15046" path="M 4962,20499 C 4962,20499 19524,18841 20562,9420 C 21600,0 20586,12681 20586,12681 C 20586,12681 19200,19370 9600,20485 C 0,21600 4962,20499 4962,20499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5989320</wp:posOffset>
              </wp:positionH>
              <wp:positionV relativeFrom="page">
                <wp:posOffset>8671571</wp:posOffset>
              </wp:positionV>
              <wp:extent cx="1727210" cy="2019289"/>
              <wp:effectExtent l="0" t="0" r="0" b="0"/>
              <wp:wrapNone/>
              <wp:docPr id="1073741830" name="officeArt object"/>
              <wp:cNvGraphicFramePr/>
              <a:graphic xmlns:a="http://schemas.openxmlformats.org/drawingml/2006/main">
                <a:graphicData uri="http://schemas.microsoft.com/office/word/2010/wordprocessingShape">
                  <wps:wsp>
                    <wps:cNvSpPr/>
                    <wps:spPr>
                      <a:xfrm flipH="1" flipV="1">
                        <a:off x="0" y="0"/>
                        <a:ext cx="1727210" cy="2019289"/>
                      </a:xfrm>
                      <a:custGeom>
                        <a:avLst/>
                        <a:gdLst/>
                        <a:ahLst/>
                        <a:cxnLst>
                          <a:cxn ang="0">
                            <a:pos x="wd2" y="hd2"/>
                          </a:cxn>
                          <a:cxn ang="5400000">
                            <a:pos x="wd2" y="hd2"/>
                          </a:cxn>
                          <a:cxn ang="10800000">
                            <a:pos x="wd2" y="hd2"/>
                          </a:cxn>
                          <a:cxn ang="16200000">
                            <a:pos x="wd2" y="hd2"/>
                          </a:cxn>
                        </a:cxnLst>
                        <a:rect l="0" t="0" r="r" b="b"/>
                        <a:pathLst>
                          <a:path w="19716" h="14470" fill="norm" stroke="1"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3" style="visibility:visible;position:absolute;margin-left:471.6pt;margin-top:682.8pt;width:136.0pt;height:159.0pt;z-index:-251656192;mso-position-horizontal:absolute;mso-position-horizontal-relative:page;mso-position-vertical:absolute;mso-position-vertical-relative:page;mso-wrap-distance-left:12.0pt;mso-wrap-distance-top:12.0pt;mso-wrap-distance-right:12.0pt;mso-wrap-distance-bottom:12.0pt;flip:x y;"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Arial Unicode MS" w:hAnsi="Arial Unicode MS"/>
        <w:b w:val="0"/>
        <w:bCs w:val="0"/>
      </w:rP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8215"/>
      </w:tabs>
      <w:suppressAutoHyphens w:val="1"/>
      <w:bidi w:val="0"/>
      <w:spacing w:before="0" w:after="180" w:line="312" w:lineRule="auto"/>
      <w:ind w:left="0" w:right="0" w:firstLine="0"/>
      <w:jc w:val="left"/>
      <w:outlineLvl w:val="9"/>
    </w:pPr>
    <w:rPr>
      <w:rFonts w:ascii="Didot" w:cs="Arial Unicode MS" w:hAnsi="Didot" w:eastAsia="Arial Unicode MS"/>
      <w:b w:val="1"/>
      <w:bCs w:val="1"/>
      <w:i w:val="0"/>
      <w:iCs w:val="0"/>
      <w:caps w:val="0"/>
      <w:smallCaps w:val="0"/>
      <w:strike w:val="0"/>
      <w:dstrike w:val="0"/>
      <w:outline w:val="0"/>
      <w:color w:val="000000"/>
      <w:spacing w:val="0"/>
      <w:kern w:val="0"/>
      <w:position w:val="0"/>
      <w:sz w:val="14"/>
      <w:szCs w:val="1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ender Info">
    <w:name w:val="Sender Info"/>
    <w:next w:val="Sender Info"/>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